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28" w:rsidRDefault="00286335" w:rsidP="00286335">
      <w:pPr>
        <w:jc w:val="center"/>
        <w:rPr>
          <w:b/>
          <w:sz w:val="32"/>
          <w:szCs w:val="32"/>
        </w:rPr>
      </w:pPr>
      <w:r w:rsidRPr="00286335">
        <w:rPr>
          <w:b/>
          <w:sz w:val="32"/>
          <w:szCs w:val="32"/>
        </w:rPr>
        <w:t>La fiscalità dei funzionari europei</w:t>
      </w:r>
    </w:p>
    <w:p w:rsidR="00482CFC" w:rsidRPr="00286335" w:rsidRDefault="00482CFC" w:rsidP="002863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SINTESI</w:t>
      </w:r>
    </w:p>
    <w:p w:rsidR="00BF1AC1" w:rsidRPr="000F60AE" w:rsidRDefault="006A3F81">
      <w:pPr>
        <w:rPr>
          <w:b/>
        </w:rPr>
      </w:pPr>
      <w:r w:rsidRPr="000F60AE">
        <w:rPr>
          <w:b/>
        </w:rPr>
        <w:t xml:space="preserve">Adempimenti tributari </w:t>
      </w:r>
      <w:r w:rsidR="000F60AE" w:rsidRPr="000F60AE">
        <w:rPr>
          <w:b/>
        </w:rPr>
        <w:t>formali</w:t>
      </w:r>
    </w:p>
    <w:p w:rsidR="006A3F81" w:rsidRDefault="006A3F81" w:rsidP="000F60AE">
      <w:pPr>
        <w:pStyle w:val="Paragrafoelenco"/>
        <w:numPr>
          <w:ilvl w:val="0"/>
          <w:numId w:val="1"/>
        </w:numPr>
      </w:pPr>
      <w:r>
        <w:t>Presentazione telematica della dichiarazione d</w:t>
      </w:r>
      <w:r w:rsidR="00482CFC">
        <w:t xml:space="preserve">ei redditi </w:t>
      </w:r>
      <w:r w:rsidR="00482CFC">
        <w:tab/>
      </w:r>
      <w:r w:rsidR="00482CFC">
        <w:tab/>
        <w:t>Scadenza 30/11/2022</w:t>
      </w:r>
    </w:p>
    <w:p w:rsidR="006A3F81" w:rsidRDefault="006A3F81" w:rsidP="000F60AE">
      <w:pPr>
        <w:pStyle w:val="Paragrafoelenco"/>
        <w:numPr>
          <w:ilvl w:val="0"/>
          <w:numId w:val="1"/>
        </w:numPr>
      </w:pPr>
      <w:r>
        <w:t xml:space="preserve">Presentazione cartacea della dichiarazione dei redditi </w:t>
      </w:r>
      <w:r>
        <w:tab/>
      </w:r>
      <w:r>
        <w:tab/>
      </w:r>
      <w:r>
        <w:tab/>
      </w:r>
      <w:r w:rsidR="00482CFC">
        <w:t>Scadenza 30/06/2022</w:t>
      </w:r>
      <w:r>
        <w:t xml:space="preserve"> </w:t>
      </w:r>
    </w:p>
    <w:p w:rsidR="006A3F81" w:rsidRDefault="006A3F81" w:rsidP="000F60AE">
      <w:pPr>
        <w:pStyle w:val="Paragrafoelenco"/>
      </w:pPr>
      <w:r>
        <w:t>(presso ufficio postale)</w:t>
      </w:r>
    </w:p>
    <w:p w:rsidR="000F60AE" w:rsidRDefault="000F60AE" w:rsidP="000F60AE">
      <w:pPr>
        <w:rPr>
          <w:b/>
        </w:rPr>
      </w:pPr>
    </w:p>
    <w:p w:rsidR="000F60AE" w:rsidRPr="000F60AE" w:rsidRDefault="000F60AE" w:rsidP="000F60AE">
      <w:pPr>
        <w:rPr>
          <w:b/>
        </w:rPr>
      </w:pPr>
      <w:r w:rsidRPr="000F60AE">
        <w:rPr>
          <w:b/>
        </w:rPr>
        <w:t>Adempimenti tributari sostanziali</w:t>
      </w:r>
    </w:p>
    <w:p w:rsidR="006A3F81" w:rsidRPr="000F60AE" w:rsidRDefault="006A3F81">
      <w:pPr>
        <w:rPr>
          <w:b/>
          <w:i/>
        </w:rPr>
      </w:pPr>
      <w:r w:rsidRPr="000F60AE">
        <w:rPr>
          <w:b/>
          <w:i/>
        </w:rPr>
        <w:t xml:space="preserve">Termini di Versamento </w:t>
      </w:r>
    </w:p>
    <w:p w:rsidR="006A3F81" w:rsidRDefault="00482CFC" w:rsidP="000F60AE">
      <w:pPr>
        <w:pStyle w:val="Paragrafoelenco"/>
        <w:numPr>
          <w:ilvl w:val="0"/>
          <w:numId w:val="2"/>
        </w:numPr>
      </w:pPr>
      <w:r>
        <w:t>Saldo Imposte dirette 2021</w:t>
      </w:r>
      <w:r w:rsidR="006A3F81">
        <w:tab/>
      </w:r>
      <w:r w:rsidR="006A3F81">
        <w:tab/>
      </w:r>
      <w:r w:rsidR="006A3F81">
        <w:tab/>
      </w:r>
      <w:r w:rsidR="006A3F81">
        <w:tab/>
      </w:r>
      <w:r w:rsidR="006A3F81">
        <w:tab/>
      </w:r>
      <w:r w:rsidR="006A3F81">
        <w:tab/>
      </w:r>
      <w:r>
        <w:t>Scadenza 30/06/2022</w:t>
      </w:r>
    </w:p>
    <w:p w:rsidR="006A3F81" w:rsidRDefault="006A3F81" w:rsidP="000F60AE">
      <w:pPr>
        <w:pStyle w:val="Paragrafoelenco"/>
        <w:numPr>
          <w:ilvl w:val="0"/>
          <w:numId w:val="2"/>
        </w:numPr>
      </w:pPr>
      <w:r>
        <w:t>Primo acconto imposte dirette 202</w:t>
      </w:r>
      <w:r w:rsidR="00482CFC"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82CFC">
        <w:t>Scadenza 30/06/2022</w:t>
      </w:r>
    </w:p>
    <w:p w:rsidR="000F60AE" w:rsidRDefault="00286335" w:rsidP="000F60AE">
      <w:r>
        <w:t>Il contribuente ha facoltà di posticipare l</w:t>
      </w:r>
      <w:r w:rsidR="00482CFC">
        <w:t>e scadenze al 22/08/2022</w:t>
      </w:r>
      <w:r w:rsidR="006A3F81">
        <w:t xml:space="preserve"> con maggiorazione dello 0,4%</w:t>
      </w:r>
      <w:r w:rsidR="00CC0348">
        <w:t xml:space="preserve"> </w:t>
      </w:r>
    </w:p>
    <w:p w:rsidR="000F60AE" w:rsidRDefault="000F60AE" w:rsidP="000F60AE">
      <w:r>
        <w:t>NB: non sono dovuti i tributi il cui debito non eccede i 12,00 euro</w:t>
      </w:r>
    </w:p>
    <w:p w:rsidR="00CC0348" w:rsidRDefault="00CC0348" w:rsidP="00871923">
      <w:pPr>
        <w:pStyle w:val="Paragrafoelenco"/>
        <w:numPr>
          <w:ilvl w:val="0"/>
          <w:numId w:val="6"/>
        </w:numPr>
      </w:pPr>
      <w:r>
        <w:t>Il saldo 202</w:t>
      </w:r>
      <w:r w:rsidR="00482CFC">
        <w:t>1</w:t>
      </w:r>
      <w:r>
        <w:t xml:space="preserve"> ed il primo acconto</w:t>
      </w:r>
      <w:r w:rsidR="00482CFC">
        <w:t xml:space="preserve"> 2022</w:t>
      </w:r>
      <w:r>
        <w:t xml:space="preserve"> possono essere rateizzati fino ad un massimo di 6 rate</w:t>
      </w:r>
      <w:r w:rsidR="00482CFC">
        <w:t xml:space="preserve"> mensili</w:t>
      </w:r>
      <w:r w:rsidR="000F60AE">
        <w:t>:</w:t>
      </w:r>
    </w:p>
    <w:p w:rsidR="00290028" w:rsidRDefault="00290028" w:rsidP="000F60AE">
      <w:pPr>
        <w:pStyle w:val="Paragrafoelenco"/>
      </w:pPr>
    </w:p>
    <w:p w:rsidR="000F60AE" w:rsidRDefault="00E3069E" w:rsidP="00E3069E">
      <w:pPr>
        <w:pStyle w:val="Paragrafoelenco"/>
        <w:numPr>
          <w:ilvl w:val="0"/>
          <w:numId w:val="4"/>
        </w:numPr>
      </w:pPr>
      <w:r>
        <w:t>Secondo acconto imposte dirette 202</w:t>
      </w:r>
      <w:r w:rsidR="00482CFC"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Scadenza 30/11/202</w:t>
      </w:r>
      <w:r w:rsidR="00482CFC">
        <w:t>2</w:t>
      </w:r>
    </w:p>
    <w:p w:rsidR="00286335" w:rsidRDefault="00286335">
      <w:pPr>
        <w:rPr>
          <w:b/>
        </w:rPr>
      </w:pPr>
    </w:p>
    <w:p w:rsidR="000F60AE" w:rsidRPr="00591A34" w:rsidRDefault="000F60AE">
      <w:pPr>
        <w:rPr>
          <w:b/>
        </w:rPr>
      </w:pPr>
      <w:r w:rsidRPr="00591A34">
        <w:rPr>
          <w:b/>
        </w:rPr>
        <w:t xml:space="preserve">Fattispecie </w:t>
      </w:r>
      <w:r w:rsidR="00754658">
        <w:rPr>
          <w:b/>
        </w:rPr>
        <w:t>reddituali/</w:t>
      </w:r>
      <w:proofErr w:type="gramStart"/>
      <w:r w:rsidR="00754658">
        <w:rPr>
          <w:b/>
        </w:rPr>
        <w:t xml:space="preserve">patrimoniali  </w:t>
      </w:r>
      <w:r w:rsidRPr="00591A34">
        <w:rPr>
          <w:b/>
        </w:rPr>
        <w:t>ricorrenti</w:t>
      </w:r>
      <w:proofErr w:type="gramEnd"/>
    </w:p>
    <w:p w:rsidR="000F60AE" w:rsidRPr="00591A34" w:rsidRDefault="000F60AE">
      <w:pPr>
        <w:rPr>
          <w:b/>
          <w:i/>
        </w:rPr>
      </w:pPr>
      <w:r w:rsidRPr="00591A34">
        <w:rPr>
          <w:b/>
          <w:i/>
        </w:rPr>
        <w:t>Possesso abitazione principale e seconde case a disposizione</w:t>
      </w:r>
    </w:p>
    <w:p w:rsidR="00591A34" w:rsidRDefault="000F60AE" w:rsidP="002A00F4">
      <w:pPr>
        <w:jc w:val="both"/>
      </w:pPr>
      <w:r>
        <w:t>È necessario dichiarare il relativo reddito (</w:t>
      </w:r>
      <w:r w:rsidR="00286335">
        <w:t xml:space="preserve">es. </w:t>
      </w:r>
      <w:r>
        <w:t xml:space="preserve">le </w:t>
      </w:r>
      <w:r w:rsidR="00591A34">
        <w:t xml:space="preserve">eventuali </w:t>
      </w:r>
      <w:r>
        <w:t xml:space="preserve">rendite catastali </w:t>
      </w:r>
      <w:r w:rsidR="00591A34">
        <w:t>messe a disposizione dall’autorità fiscale estera). Questo reddito non è fiscalmente imponibile.</w:t>
      </w:r>
    </w:p>
    <w:p w:rsidR="00286335" w:rsidRDefault="00286335" w:rsidP="00320F1F">
      <w:pPr>
        <w:rPr>
          <w:b/>
          <w:i/>
        </w:rPr>
      </w:pPr>
    </w:p>
    <w:p w:rsidR="00320F1F" w:rsidRDefault="00320F1F" w:rsidP="00320F1F">
      <w:pPr>
        <w:rPr>
          <w:b/>
          <w:i/>
        </w:rPr>
      </w:pPr>
      <w:r w:rsidRPr="00591A34">
        <w:rPr>
          <w:b/>
          <w:i/>
        </w:rPr>
        <w:t xml:space="preserve">Possesso </w:t>
      </w:r>
      <w:r>
        <w:rPr>
          <w:b/>
          <w:i/>
        </w:rPr>
        <w:t>abitazioni locate</w:t>
      </w:r>
      <w:r w:rsidR="00754658">
        <w:rPr>
          <w:b/>
          <w:i/>
        </w:rPr>
        <w:t xml:space="preserve"> </w:t>
      </w:r>
    </w:p>
    <w:p w:rsidR="00320F1F" w:rsidRDefault="00320F1F" w:rsidP="002A00F4">
      <w:pPr>
        <w:jc w:val="both"/>
      </w:pPr>
      <w:r w:rsidRPr="00320F1F">
        <w:t>È necess</w:t>
      </w:r>
      <w:r>
        <w:t xml:space="preserve">ario dichiarare il reddito locativo imponibile </w:t>
      </w:r>
      <w:r w:rsidR="006268AD">
        <w:t>secondo la valutazione effettuata dallo stato estero (es. immobili</w:t>
      </w:r>
      <w:r w:rsidR="00290028">
        <w:t xml:space="preserve"> in Belgio la rendita catastale indicizzata </w:t>
      </w:r>
      <w:r w:rsidR="006268AD">
        <w:t>assorbe anche il reddito locativo</w:t>
      </w:r>
      <w:r w:rsidR="00754658">
        <w:t>,</w:t>
      </w:r>
      <w:r w:rsidR="006268AD">
        <w:t xml:space="preserve"> mentre in Finlandia </w:t>
      </w:r>
      <w:r w:rsidR="00754658">
        <w:t xml:space="preserve">il canone di locazione </w:t>
      </w:r>
      <w:r w:rsidR="006268AD">
        <w:t>è direttamente imponibile</w:t>
      </w:r>
      <w:r w:rsidR="00754658">
        <w:t>,</w:t>
      </w:r>
      <w:r w:rsidR="006268AD">
        <w:t xml:space="preserve"> ferma restando la detraibilità delle imposte finlandesi dall’Irpef)</w:t>
      </w:r>
      <w:r w:rsidR="00754658">
        <w:t>.</w:t>
      </w:r>
    </w:p>
    <w:p w:rsidR="006268AD" w:rsidRDefault="006268AD" w:rsidP="002A00F4">
      <w:pPr>
        <w:jc w:val="both"/>
      </w:pPr>
      <w:r>
        <w:t>Qualora nello stato estero il reddito locativo sia esente, in Italia sarà tass</w:t>
      </w:r>
      <w:r w:rsidR="00754658">
        <w:t>ato il canone estero previa detrazio</w:t>
      </w:r>
      <w:r>
        <w:t xml:space="preserve">ne </w:t>
      </w:r>
      <w:r w:rsidR="00754658">
        <w:t>del 15% del canone quale deduzione forfettaria delle spese</w:t>
      </w:r>
    </w:p>
    <w:p w:rsidR="00326094" w:rsidRPr="00320F1F" w:rsidRDefault="00326094" w:rsidP="002A00F4">
      <w:pPr>
        <w:jc w:val="both"/>
      </w:pPr>
    </w:p>
    <w:p w:rsidR="00754658" w:rsidRDefault="00754658">
      <w:pPr>
        <w:rPr>
          <w:b/>
          <w:i/>
        </w:rPr>
      </w:pPr>
    </w:p>
    <w:p w:rsidR="00754658" w:rsidRPr="00754658" w:rsidRDefault="00754658">
      <w:pPr>
        <w:rPr>
          <w:b/>
          <w:i/>
        </w:rPr>
      </w:pPr>
      <w:r w:rsidRPr="00754658">
        <w:rPr>
          <w:b/>
          <w:i/>
        </w:rPr>
        <w:t>Possesso di depositi bancari, dossier titoli e altre attività finanziarie estere</w:t>
      </w:r>
    </w:p>
    <w:p w:rsidR="00754658" w:rsidRDefault="00754658" w:rsidP="002A00F4">
      <w:pPr>
        <w:jc w:val="both"/>
      </w:pPr>
      <w:r>
        <w:t>I relativi redditi di capitale sono imponibili in Italia.</w:t>
      </w:r>
    </w:p>
    <w:p w:rsidR="000F60AE" w:rsidRDefault="00754658" w:rsidP="002A00F4">
      <w:pPr>
        <w:jc w:val="both"/>
      </w:pPr>
      <w:r>
        <w:lastRenderedPageBreak/>
        <w:t xml:space="preserve">Gli interessi attivi di conto corrente </w:t>
      </w:r>
      <w:r w:rsidR="002A00F4">
        <w:t xml:space="preserve">o derivanti da conti di deposito/risparmio sono imponibili in misura pari al 26% salvo opzione per la tassazione ordinaria (è il caso in cui l’aliquota marginale </w:t>
      </w:r>
      <w:proofErr w:type="spellStart"/>
      <w:r w:rsidR="002A00F4">
        <w:t>irpef</w:t>
      </w:r>
      <w:proofErr w:type="spellEnd"/>
      <w:r w:rsidR="002A00F4">
        <w:t>, comprese le addizionali, sia inferiore al 26%)</w:t>
      </w:r>
    </w:p>
    <w:p w:rsidR="000F60AE" w:rsidRDefault="002A00F4" w:rsidP="00342F47">
      <w:pPr>
        <w:jc w:val="both"/>
      </w:pPr>
      <w:r>
        <w:t>Gli interessi su obbligazioni estere, i dividendi su azioni e altri proventi</w:t>
      </w:r>
      <w:r w:rsidR="00342F47" w:rsidRPr="00342F47">
        <w:t xml:space="preserve"> </w:t>
      </w:r>
      <w:r w:rsidR="00342F47">
        <w:t>comunque finanziari,</w:t>
      </w:r>
      <w:r>
        <w:t xml:space="preserve"> sono imponibili per il rispettivo importo lordo nella misura del 26%, senza facoltà di poter opzionare per la tassazione ordinaria IRPEF.</w:t>
      </w:r>
    </w:p>
    <w:p w:rsidR="000F60AE" w:rsidRDefault="00342F47" w:rsidP="00342F47">
      <w:pPr>
        <w:jc w:val="both"/>
      </w:pPr>
      <w:r>
        <w:t>Diversamente i proventi di capitale (capital gain su trading) su azioni, fondi comuni e altri prodotti finanziari scontano l’imposta sostitutiva del 26% sulla sola plusvalenza, quale differenza tra il prezzo di vendita/rimborso e il valore di carico (prezzo di acquisto o sottoscrizione).</w:t>
      </w:r>
    </w:p>
    <w:p w:rsidR="00326094" w:rsidRDefault="00326094" w:rsidP="00342F47">
      <w:pPr>
        <w:jc w:val="both"/>
        <w:rPr>
          <w:b/>
        </w:rPr>
      </w:pPr>
    </w:p>
    <w:p w:rsidR="00342F47" w:rsidRPr="00EC1D43" w:rsidRDefault="00342F47" w:rsidP="00342F47">
      <w:pPr>
        <w:jc w:val="both"/>
        <w:rPr>
          <w:b/>
        </w:rPr>
      </w:pPr>
      <w:bookmarkStart w:id="0" w:name="_GoBack"/>
      <w:bookmarkEnd w:id="0"/>
      <w:r w:rsidRPr="00EC1D43">
        <w:rPr>
          <w:b/>
        </w:rPr>
        <w:t>La tassazione patrimoniale</w:t>
      </w:r>
    </w:p>
    <w:p w:rsidR="00342F47" w:rsidRPr="00EC1D43" w:rsidRDefault="00342F47" w:rsidP="00342F47">
      <w:pPr>
        <w:jc w:val="both"/>
        <w:rPr>
          <w:b/>
          <w:i/>
        </w:rPr>
      </w:pPr>
      <w:r w:rsidRPr="00EC1D43">
        <w:rPr>
          <w:b/>
          <w:i/>
        </w:rPr>
        <w:t xml:space="preserve">IVAFE </w:t>
      </w:r>
    </w:p>
    <w:p w:rsidR="002865FF" w:rsidRDefault="00342F47" w:rsidP="00342F47">
      <w:pPr>
        <w:jc w:val="both"/>
      </w:pPr>
      <w:r>
        <w:t xml:space="preserve">Si tratta </w:t>
      </w:r>
      <w:r w:rsidR="005E4DEC">
        <w:t>di un’imposta patrimoniale la cui disciplina è di fatto mutuata da quella dell’imposta di bollo sulle attività finanziarie detenute in Italia</w:t>
      </w:r>
      <w:r w:rsidR="002865FF">
        <w:t>.</w:t>
      </w:r>
    </w:p>
    <w:p w:rsidR="002A5D0F" w:rsidRDefault="002865FF" w:rsidP="00342F47">
      <w:pPr>
        <w:jc w:val="both"/>
      </w:pPr>
      <w:r>
        <w:t>Presupposto dell’imposta è il possesso di attività finanziarie detenute all’estero.</w:t>
      </w:r>
    </w:p>
    <w:p w:rsidR="00EC1D43" w:rsidRDefault="002A5D0F" w:rsidP="00342F47">
      <w:pPr>
        <w:jc w:val="both"/>
      </w:pPr>
      <w:r>
        <w:t xml:space="preserve">La base imponibile è </w:t>
      </w:r>
      <w:r w:rsidR="00EC1D43">
        <w:t>il valore di quotazione dell’attività finanziaria al 31/12, ovvero in mancanza il valore nominale, ovvero in mancanza il valore di rimborso</w:t>
      </w:r>
      <w:r w:rsidR="004C71CB">
        <w:t>.</w:t>
      </w:r>
    </w:p>
    <w:p w:rsidR="00342F47" w:rsidRDefault="00EC1D43" w:rsidP="00342F47">
      <w:pPr>
        <w:jc w:val="both"/>
      </w:pPr>
      <w:r>
        <w:t xml:space="preserve">Sui predetti valori </w:t>
      </w:r>
      <w:proofErr w:type="gramStart"/>
      <w:r>
        <w:t xml:space="preserve">l’aliquota </w:t>
      </w:r>
      <w:r w:rsidR="005E4DEC">
        <w:t xml:space="preserve"> </w:t>
      </w:r>
      <w:r>
        <w:t>va</w:t>
      </w:r>
      <w:proofErr w:type="gramEnd"/>
      <w:r>
        <w:t xml:space="preserve"> commisurata al 2 per mille</w:t>
      </w:r>
      <w:r w:rsidR="004C71CB">
        <w:t>.</w:t>
      </w:r>
    </w:p>
    <w:p w:rsidR="00EC1D43" w:rsidRDefault="00EC1D43" w:rsidP="00342F47">
      <w:pPr>
        <w:jc w:val="both"/>
      </w:pPr>
      <w:r>
        <w:t xml:space="preserve">Per le giacenze su conti </w:t>
      </w:r>
      <w:r w:rsidR="004C71CB">
        <w:t>correnti</w:t>
      </w:r>
      <w:r>
        <w:t xml:space="preserve"> e libretti di </w:t>
      </w:r>
      <w:r w:rsidR="004C71CB">
        <w:t>risparmio</w:t>
      </w:r>
      <w:r>
        <w:t xml:space="preserve"> l’imposta è dovuta in misura fissa (euro 34,20</w:t>
      </w:r>
      <w:proofErr w:type="gramStart"/>
      <w:r>
        <w:t>)  laddove</w:t>
      </w:r>
      <w:proofErr w:type="gramEnd"/>
      <w:r>
        <w:t xml:space="preserve"> la giacenza media nell’anno superi euro 5.000,00</w:t>
      </w:r>
      <w:r w:rsidR="004C71CB">
        <w:t>.</w:t>
      </w:r>
    </w:p>
    <w:p w:rsidR="00342F47" w:rsidRDefault="00342F47" w:rsidP="00342F47">
      <w:pPr>
        <w:jc w:val="both"/>
      </w:pPr>
    </w:p>
    <w:p w:rsidR="00342F47" w:rsidRDefault="00342F47" w:rsidP="00342F47">
      <w:pPr>
        <w:jc w:val="both"/>
        <w:rPr>
          <w:b/>
          <w:i/>
        </w:rPr>
      </w:pPr>
      <w:r w:rsidRPr="00EC1D43">
        <w:rPr>
          <w:b/>
          <w:i/>
        </w:rPr>
        <w:t>IVIE</w:t>
      </w:r>
    </w:p>
    <w:p w:rsidR="00C83FD5" w:rsidRDefault="00C83FD5" w:rsidP="00C83FD5">
      <w:pPr>
        <w:jc w:val="both"/>
      </w:pPr>
      <w:r>
        <w:t>Si tratta di un’imposta patrimoniale la cui disciplina ricalca in parte quella dell’IMU.</w:t>
      </w:r>
    </w:p>
    <w:p w:rsidR="00C83FD5" w:rsidRDefault="00C83FD5" w:rsidP="00C83FD5">
      <w:pPr>
        <w:jc w:val="both"/>
      </w:pPr>
      <w:r>
        <w:t>Presupposto dell’</w:t>
      </w:r>
      <w:r w:rsidR="00950162">
        <w:t>imposta è il possesso fabbricati all’estero</w:t>
      </w:r>
      <w:r w:rsidR="004C71CB">
        <w:t>.</w:t>
      </w:r>
    </w:p>
    <w:p w:rsidR="00950162" w:rsidRDefault="00C83FD5" w:rsidP="00C83FD5">
      <w:pPr>
        <w:jc w:val="both"/>
      </w:pPr>
      <w:r>
        <w:t>La base imponibile è il costo di acquisto o di costruzione.  Per gli immobili situati nei Paesi UE o aderenti allo Spazio economico europeo</w:t>
      </w:r>
      <w:r w:rsidR="00950162">
        <w:t xml:space="preserve"> si assume il valore catastale, in mancanza di questo il costo di acquisto o costruzione, ovvero in assenza di questi il valore di mercato rilevabile nel luogo in cui è ubicato l’immobile.</w:t>
      </w:r>
    </w:p>
    <w:p w:rsidR="00950162" w:rsidRDefault="00950162" w:rsidP="00C83FD5">
      <w:pPr>
        <w:jc w:val="both"/>
      </w:pPr>
      <w:r>
        <w:t>L’aliquota è pari a:</w:t>
      </w:r>
    </w:p>
    <w:p w:rsidR="00950162" w:rsidRDefault="00950162" w:rsidP="00950162">
      <w:pPr>
        <w:pStyle w:val="Paragrafoelenco"/>
        <w:numPr>
          <w:ilvl w:val="0"/>
          <w:numId w:val="5"/>
        </w:numPr>
        <w:jc w:val="both"/>
      </w:pPr>
      <w:r>
        <w:t>0,40% per l’immobile e relative pertinenze adibiti ad abitazione principale, qualora il fabbricato sia classificabile nelle categorie catastali A/1</w:t>
      </w:r>
      <w:r w:rsidR="004C71CB">
        <w:t xml:space="preserve"> - abitazioni signorili</w:t>
      </w:r>
      <w:r>
        <w:t>, A/8</w:t>
      </w:r>
      <w:r w:rsidR="004C71CB">
        <w:t xml:space="preserve"> - ville</w:t>
      </w:r>
      <w:r>
        <w:t>, A/9</w:t>
      </w:r>
      <w:r w:rsidR="004C71CB">
        <w:t xml:space="preserve"> - castelli e palazzi di eminente pregio</w:t>
      </w:r>
      <w:r>
        <w:t xml:space="preserve"> (c.d. fabbricati di lusso)</w:t>
      </w:r>
    </w:p>
    <w:p w:rsidR="00950162" w:rsidRDefault="00950162" w:rsidP="00950162">
      <w:pPr>
        <w:pStyle w:val="Paragrafoelenco"/>
        <w:numPr>
          <w:ilvl w:val="0"/>
          <w:numId w:val="5"/>
        </w:numPr>
        <w:jc w:val="both"/>
      </w:pPr>
      <w:r>
        <w:t>0,76% per gli altri immobili diversi dall’abitazione principale.</w:t>
      </w:r>
    </w:p>
    <w:p w:rsidR="00C83FD5" w:rsidRPr="00EC1D43" w:rsidRDefault="00950162" w:rsidP="00342F47">
      <w:pPr>
        <w:jc w:val="both"/>
        <w:rPr>
          <w:b/>
          <w:i/>
        </w:rPr>
      </w:pPr>
      <w:r>
        <w:t>Per quanto sopra le abitazioni principali e relative pertinenze non riconducibili ai c.d. fabbricati di lusso sono esenti da IMU</w:t>
      </w:r>
      <w:r w:rsidR="004C71CB">
        <w:t>.</w:t>
      </w:r>
    </w:p>
    <w:sectPr w:rsidR="00C83FD5" w:rsidRPr="00EC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959"/>
    <w:multiLevelType w:val="hybridMultilevel"/>
    <w:tmpl w:val="AB5A3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205"/>
    <w:multiLevelType w:val="hybridMultilevel"/>
    <w:tmpl w:val="B3B46C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805"/>
    <w:multiLevelType w:val="hybridMultilevel"/>
    <w:tmpl w:val="55B0C3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FD7"/>
    <w:multiLevelType w:val="hybridMultilevel"/>
    <w:tmpl w:val="2DD248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8720B"/>
    <w:multiLevelType w:val="hybridMultilevel"/>
    <w:tmpl w:val="DF3A3C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3002D"/>
    <w:multiLevelType w:val="hybridMultilevel"/>
    <w:tmpl w:val="B97A34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81"/>
    <w:rsid w:val="000F60AE"/>
    <w:rsid w:val="00286335"/>
    <w:rsid w:val="002865FF"/>
    <w:rsid w:val="00290028"/>
    <w:rsid w:val="002A00F4"/>
    <w:rsid w:val="002A5D0F"/>
    <w:rsid w:val="00320F1F"/>
    <w:rsid w:val="00326094"/>
    <w:rsid w:val="00342F47"/>
    <w:rsid w:val="00482CFC"/>
    <w:rsid w:val="004C71CB"/>
    <w:rsid w:val="00591A34"/>
    <w:rsid w:val="005E4DEC"/>
    <w:rsid w:val="006268AD"/>
    <w:rsid w:val="006A3F81"/>
    <w:rsid w:val="00754658"/>
    <w:rsid w:val="00871923"/>
    <w:rsid w:val="00950162"/>
    <w:rsid w:val="00B3756F"/>
    <w:rsid w:val="00BF1AC1"/>
    <w:rsid w:val="00C83FD5"/>
    <w:rsid w:val="00CC0348"/>
    <w:rsid w:val="00E3069E"/>
    <w:rsid w:val="00E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7657"/>
  <w15:docId w15:val="{31C141D9-60CF-4D0F-8B50-F921D915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60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</cp:lastModifiedBy>
  <cp:revision>4</cp:revision>
  <cp:lastPrinted>2022-06-17T17:23:00Z</cp:lastPrinted>
  <dcterms:created xsi:type="dcterms:W3CDTF">2022-06-19T10:15:00Z</dcterms:created>
  <dcterms:modified xsi:type="dcterms:W3CDTF">2022-06-19T10:32:00Z</dcterms:modified>
</cp:coreProperties>
</file>